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D71E" w14:textId="77777777" w:rsidR="007913C6" w:rsidRDefault="007913C6">
      <w:pPr>
        <w:spacing w:after="120"/>
        <w:ind w:left="720" w:right="720"/>
      </w:pPr>
    </w:p>
    <w:p w14:paraId="19355CBD" w14:textId="77777777" w:rsidR="0004557F" w:rsidRDefault="0004557F" w:rsidP="00B321F9">
      <w:pPr>
        <w:spacing w:after="120"/>
        <w:ind w:left="720" w:right="720"/>
      </w:pPr>
    </w:p>
    <w:p w14:paraId="2F337309" w14:textId="77777777" w:rsidR="0004557F" w:rsidRDefault="0004557F" w:rsidP="00B321F9">
      <w:pPr>
        <w:spacing w:after="120"/>
        <w:ind w:left="720" w:right="720"/>
      </w:pPr>
    </w:p>
    <w:p w14:paraId="63D0F8D5" w14:textId="2C10E55A" w:rsidR="00A4662B" w:rsidRPr="00B321F9" w:rsidRDefault="00996C2E" w:rsidP="00B321F9">
      <w:pPr>
        <w:spacing w:after="120"/>
        <w:ind w:left="720" w:right="720"/>
      </w:pPr>
      <w:r>
        <w:rPr>
          <w:noProof/>
        </w:rPr>
        <mc:AlternateContent>
          <mc:Choice Requires="wps">
            <w:drawing>
              <wp:anchor distT="0" distB="0" distL="114300" distR="114300" simplePos="0" relativeHeight="251657728" behindDoc="0" locked="0" layoutInCell="1" allowOverlap="1" wp14:anchorId="2BF9044C" wp14:editId="06CE1BE5">
                <wp:simplePos x="0" y="0"/>
                <wp:positionH relativeFrom="column">
                  <wp:posOffset>-5715</wp:posOffset>
                </wp:positionH>
                <wp:positionV relativeFrom="paragraph">
                  <wp:posOffset>104140</wp:posOffset>
                </wp:positionV>
                <wp:extent cx="5943600" cy="0"/>
                <wp:effectExtent l="0" t="0" r="0" b="0"/>
                <wp:wrapNone/>
                <wp:docPr id="14016415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619E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2pt" to="4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"/>
            </w:pict>
          </mc:Fallback>
        </mc:AlternateContent>
      </w:r>
    </w:p>
    <w:p w14:paraId="62E6F80A" w14:textId="22E45E1E" w:rsidR="00B321F9" w:rsidRPr="003409BC" w:rsidRDefault="00F12037" w:rsidP="00B321F9">
      <w:pPr>
        <w:pStyle w:val="Heading2"/>
        <w:jc w:val="center"/>
        <w:rPr>
          <w:rFonts w:ascii="Calibri" w:hAnsi="Calibri" w:cs="Calibri"/>
          <w:b/>
          <w:smallCaps/>
          <w:sz w:val="32"/>
          <w:szCs w:val="32"/>
        </w:rPr>
      </w:pPr>
      <w:r w:rsidRPr="003409BC">
        <w:rPr>
          <w:rFonts w:ascii="Calibri" w:hAnsi="Calibri" w:cs="Calibri"/>
          <w:b/>
          <w:smallCaps/>
          <w:sz w:val="32"/>
          <w:szCs w:val="32"/>
        </w:rPr>
        <w:t>202</w:t>
      </w:r>
      <w:r w:rsidR="001B4AB0">
        <w:rPr>
          <w:rFonts w:ascii="Calibri" w:hAnsi="Calibri" w:cs="Calibri"/>
          <w:b/>
          <w:smallCaps/>
          <w:sz w:val="32"/>
          <w:szCs w:val="32"/>
        </w:rPr>
        <w:t>6</w:t>
      </w:r>
      <w:r w:rsidR="00197568" w:rsidRPr="003409BC">
        <w:rPr>
          <w:rFonts w:ascii="Calibri" w:hAnsi="Calibri" w:cs="Calibri"/>
          <w:b/>
          <w:smallCaps/>
          <w:sz w:val="32"/>
          <w:szCs w:val="32"/>
        </w:rPr>
        <w:t>-20</w:t>
      </w:r>
      <w:r w:rsidRPr="003409BC">
        <w:rPr>
          <w:rFonts w:ascii="Calibri" w:hAnsi="Calibri" w:cs="Calibri"/>
          <w:b/>
          <w:smallCaps/>
          <w:sz w:val="32"/>
          <w:szCs w:val="32"/>
        </w:rPr>
        <w:t>2</w:t>
      </w:r>
      <w:r w:rsidR="001B4AB0">
        <w:rPr>
          <w:rFonts w:ascii="Calibri" w:hAnsi="Calibri" w:cs="Calibri"/>
          <w:b/>
          <w:smallCaps/>
          <w:sz w:val="32"/>
          <w:szCs w:val="32"/>
        </w:rPr>
        <w:t>7</w:t>
      </w:r>
      <w:r w:rsidR="008B60E9" w:rsidRPr="003409BC">
        <w:rPr>
          <w:rFonts w:ascii="Calibri" w:hAnsi="Calibri" w:cs="Calibri"/>
          <w:b/>
          <w:smallCaps/>
          <w:sz w:val="32"/>
          <w:szCs w:val="32"/>
        </w:rPr>
        <w:t xml:space="preserve"> </w:t>
      </w:r>
      <w:r w:rsidR="00B321F9" w:rsidRPr="003409BC">
        <w:rPr>
          <w:rFonts w:ascii="Calibri" w:hAnsi="Calibri" w:cs="Calibri"/>
          <w:b/>
          <w:smallCaps/>
          <w:sz w:val="32"/>
          <w:szCs w:val="32"/>
        </w:rPr>
        <w:t>Enrollment Level/ “Census” Policy</w:t>
      </w:r>
    </w:p>
    <w:p w14:paraId="51C690B7" w14:textId="77777777" w:rsidR="00B321F9" w:rsidRPr="003409BC" w:rsidRDefault="00B321F9" w:rsidP="00B321F9">
      <w:pPr>
        <w:rPr>
          <w:rFonts w:ascii="Calibri" w:hAnsi="Calibri" w:cs="Calibri"/>
          <w:sz w:val="16"/>
          <w:szCs w:val="16"/>
        </w:rPr>
      </w:pPr>
    </w:p>
    <w:p w14:paraId="49AAAAB3" w14:textId="77777777" w:rsidR="001514A8" w:rsidRPr="003409BC" w:rsidRDefault="00B321F9" w:rsidP="001C41A6">
      <w:pPr>
        <w:jc w:val="both"/>
        <w:rPr>
          <w:rFonts w:ascii="Calibri" w:hAnsi="Calibri" w:cs="Calibri"/>
          <w:sz w:val="22"/>
          <w:szCs w:val="22"/>
        </w:rPr>
      </w:pPr>
      <w:r w:rsidRPr="003409BC">
        <w:rPr>
          <w:rFonts w:ascii="Calibri" w:hAnsi="Calibri" w:cs="Calibri"/>
          <w:sz w:val="22"/>
          <w:szCs w:val="22"/>
        </w:rPr>
        <w:t xml:space="preserve">Financial aid amounts are initially awarded assuming a full-time enrollment level (12+ </w:t>
      </w:r>
      <w:proofErr w:type="gramStart"/>
      <w:r w:rsidRPr="003409BC">
        <w:rPr>
          <w:rFonts w:ascii="Calibri" w:hAnsi="Calibri" w:cs="Calibri"/>
          <w:sz w:val="22"/>
          <w:szCs w:val="22"/>
        </w:rPr>
        <w:t>credits</w:t>
      </w:r>
      <w:proofErr w:type="gramEnd"/>
      <w:r w:rsidRPr="003409BC">
        <w:rPr>
          <w:rFonts w:ascii="Calibri" w:hAnsi="Calibri" w:cs="Calibri"/>
          <w:sz w:val="22"/>
          <w:szCs w:val="22"/>
        </w:rPr>
        <w:t xml:space="preserve">). Financial aid is available at levels below full-time. Students </w:t>
      </w:r>
      <w:r w:rsidRPr="003409BC">
        <w:rPr>
          <w:rFonts w:ascii="Calibri" w:hAnsi="Calibri" w:cs="Calibri"/>
          <w:b/>
          <w:sz w:val="22"/>
          <w:szCs w:val="22"/>
          <w:u w:val="single"/>
        </w:rPr>
        <w:t>must</w:t>
      </w:r>
      <w:r w:rsidRPr="003409BC">
        <w:rPr>
          <w:rFonts w:ascii="Calibri" w:hAnsi="Calibri" w:cs="Calibri"/>
          <w:sz w:val="22"/>
          <w:szCs w:val="22"/>
        </w:rPr>
        <w:t xml:space="preserve"> notify the Student Financial Services office in writing, using the Enrollment Status Change Form, at least 7 days prior to the start of the quarter to avoid any delays in receiving a refund. </w:t>
      </w:r>
    </w:p>
    <w:p w14:paraId="33637649" w14:textId="77777777" w:rsidR="001514A8" w:rsidRPr="00CB5080" w:rsidRDefault="001514A8" w:rsidP="001514A8">
      <w:pPr>
        <w:pStyle w:val="Heading8"/>
        <w:shd w:val="clear" w:color="auto" w:fill="E6E6E6"/>
        <w:rPr>
          <w:b/>
          <w:sz w:val="22"/>
          <w:szCs w:val="22"/>
        </w:rPr>
      </w:pPr>
      <w:r w:rsidRPr="005F5ACC">
        <w:rPr>
          <w:sz w:val="22"/>
          <w:szCs w:val="22"/>
        </w:rPr>
        <w:t xml:space="preserve">     To receive aid at this enrollment level</w:t>
      </w:r>
      <w:r w:rsidRPr="005F5ACC">
        <w:rPr>
          <w:sz w:val="22"/>
          <w:szCs w:val="22"/>
        </w:rPr>
        <w:tab/>
        <w:t xml:space="preserve">   </w:t>
      </w:r>
      <w:r w:rsidRPr="005F5ACC">
        <w:rPr>
          <w:sz w:val="22"/>
          <w:szCs w:val="22"/>
        </w:rPr>
        <w:sym w:font="Wingdings" w:char="F0E0"/>
      </w:r>
      <w:r w:rsidRPr="005F5ACC">
        <w:rPr>
          <w:sz w:val="22"/>
          <w:szCs w:val="22"/>
        </w:rPr>
        <w:t xml:space="preserve"> </w:t>
      </w:r>
      <w:r w:rsidRPr="005F5ACC">
        <w:rPr>
          <w:sz w:val="22"/>
          <w:szCs w:val="22"/>
        </w:rPr>
        <w:tab/>
      </w:r>
      <w:r>
        <w:rPr>
          <w:sz w:val="22"/>
          <w:szCs w:val="22"/>
        </w:rPr>
        <w:tab/>
      </w:r>
      <w:r>
        <w:rPr>
          <w:sz w:val="22"/>
          <w:szCs w:val="22"/>
        </w:rPr>
        <w:tab/>
      </w:r>
      <w:r w:rsidRPr="005F5ACC">
        <w:rPr>
          <w:sz w:val="22"/>
          <w:szCs w:val="22"/>
        </w:rPr>
        <w:t>You must be registered for:</w:t>
      </w:r>
      <w:r w:rsidRPr="005F5ACC">
        <w:rPr>
          <w:b/>
          <w:sz w:val="22"/>
          <w:szCs w:val="22"/>
        </w:rPr>
        <w:tab/>
      </w:r>
    </w:p>
    <w:p w14:paraId="09BD9F85" w14:textId="77777777" w:rsidR="001514A8" w:rsidRPr="005F5ACC" w:rsidRDefault="001514A8" w:rsidP="001514A8">
      <w:pPr>
        <w:ind w:left="3600" w:hanging="2880"/>
        <w:rPr>
          <w:sz w:val="22"/>
          <w:szCs w:val="22"/>
        </w:rPr>
      </w:pPr>
      <w:r w:rsidRPr="005F5ACC">
        <w:rPr>
          <w:sz w:val="22"/>
          <w:szCs w:val="22"/>
        </w:rPr>
        <w:t>Full-time</w:t>
      </w:r>
      <w:r w:rsidRPr="005F5ACC">
        <w:rPr>
          <w:sz w:val="22"/>
          <w:szCs w:val="22"/>
        </w:rPr>
        <w:tab/>
      </w:r>
      <w:r w:rsidRPr="005F5ACC">
        <w:rPr>
          <w:sz w:val="22"/>
          <w:szCs w:val="22"/>
        </w:rPr>
        <w:tab/>
      </w:r>
      <w:r w:rsidRPr="005F5ACC">
        <w:rPr>
          <w:sz w:val="22"/>
          <w:szCs w:val="22"/>
        </w:rPr>
        <w:tab/>
      </w:r>
      <w:r w:rsidRPr="005F5ACC">
        <w:rPr>
          <w:sz w:val="22"/>
          <w:szCs w:val="22"/>
        </w:rPr>
        <w:tab/>
        <w:t>12 or more credits*</w:t>
      </w:r>
    </w:p>
    <w:p w14:paraId="4A9D725B" w14:textId="77777777" w:rsidR="001514A8" w:rsidRPr="005F5ACC" w:rsidRDefault="001514A8" w:rsidP="001514A8">
      <w:pPr>
        <w:ind w:left="3600" w:hanging="2880"/>
        <w:rPr>
          <w:sz w:val="22"/>
          <w:szCs w:val="22"/>
        </w:rPr>
      </w:pPr>
      <w:r w:rsidRPr="005F5ACC">
        <w:rPr>
          <w:sz w:val="22"/>
          <w:szCs w:val="22"/>
        </w:rPr>
        <w:t>Three-quarter time</w:t>
      </w:r>
      <w:r w:rsidRPr="005F5ACC">
        <w:rPr>
          <w:sz w:val="22"/>
          <w:szCs w:val="22"/>
        </w:rPr>
        <w:tab/>
      </w:r>
      <w:r w:rsidRPr="005F5ACC">
        <w:rPr>
          <w:sz w:val="22"/>
          <w:szCs w:val="22"/>
        </w:rPr>
        <w:tab/>
      </w:r>
      <w:r w:rsidRPr="005F5ACC">
        <w:rPr>
          <w:sz w:val="22"/>
          <w:szCs w:val="22"/>
        </w:rPr>
        <w:tab/>
      </w:r>
      <w:r w:rsidRPr="005F5ACC">
        <w:rPr>
          <w:sz w:val="22"/>
          <w:szCs w:val="22"/>
        </w:rPr>
        <w:tab/>
        <w:t>Between 9-11.99 credits*</w:t>
      </w:r>
    </w:p>
    <w:p w14:paraId="1538DA03" w14:textId="77777777" w:rsidR="001514A8" w:rsidRPr="005F5ACC" w:rsidRDefault="001514A8" w:rsidP="001514A8">
      <w:pPr>
        <w:ind w:left="3600" w:hanging="2880"/>
        <w:rPr>
          <w:sz w:val="22"/>
          <w:szCs w:val="22"/>
        </w:rPr>
      </w:pPr>
      <w:r w:rsidRPr="005F5ACC">
        <w:rPr>
          <w:sz w:val="22"/>
          <w:szCs w:val="22"/>
        </w:rPr>
        <w:t>Half time</w:t>
      </w:r>
      <w:r w:rsidRPr="005F5ACC">
        <w:rPr>
          <w:sz w:val="22"/>
          <w:szCs w:val="22"/>
        </w:rPr>
        <w:tab/>
      </w:r>
      <w:r w:rsidRPr="005F5ACC">
        <w:rPr>
          <w:sz w:val="22"/>
          <w:szCs w:val="22"/>
        </w:rPr>
        <w:tab/>
      </w:r>
      <w:r w:rsidRPr="005F5ACC">
        <w:rPr>
          <w:sz w:val="22"/>
          <w:szCs w:val="22"/>
        </w:rPr>
        <w:tab/>
      </w:r>
      <w:r w:rsidRPr="005F5ACC">
        <w:rPr>
          <w:sz w:val="22"/>
          <w:szCs w:val="22"/>
        </w:rPr>
        <w:tab/>
        <w:t>Between 6-8.99 credits*</w:t>
      </w:r>
    </w:p>
    <w:p w14:paraId="41106D79" w14:textId="77777777" w:rsidR="001514A8" w:rsidRPr="001514A8" w:rsidRDefault="001514A8" w:rsidP="001514A8">
      <w:pPr>
        <w:ind w:left="3600" w:hanging="2880"/>
        <w:rPr>
          <w:sz w:val="22"/>
          <w:szCs w:val="22"/>
        </w:rPr>
      </w:pPr>
      <w:r w:rsidRPr="005F5ACC">
        <w:rPr>
          <w:sz w:val="22"/>
          <w:szCs w:val="22"/>
        </w:rPr>
        <w:t>Less than ½-time</w:t>
      </w:r>
      <w:r w:rsidRPr="005F5ACC">
        <w:rPr>
          <w:sz w:val="22"/>
          <w:szCs w:val="22"/>
        </w:rPr>
        <w:tab/>
      </w:r>
      <w:r w:rsidRPr="005F5ACC">
        <w:rPr>
          <w:sz w:val="22"/>
          <w:szCs w:val="22"/>
        </w:rPr>
        <w:tab/>
      </w:r>
      <w:r w:rsidRPr="005F5ACC">
        <w:rPr>
          <w:sz w:val="22"/>
          <w:szCs w:val="22"/>
        </w:rPr>
        <w:tab/>
      </w:r>
      <w:r w:rsidRPr="005F5ACC">
        <w:rPr>
          <w:sz w:val="22"/>
          <w:szCs w:val="22"/>
        </w:rPr>
        <w:tab/>
        <w:t>Between 1-5.9</w:t>
      </w:r>
      <w:r>
        <w:rPr>
          <w:sz w:val="22"/>
          <w:szCs w:val="22"/>
        </w:rPr>
        <w:t>9</w:t>
      </w:r>
      <w:r w:rsidRPr="005F5ACC">
        <w:rPr>
          <w:sz w:val="22"/>
          <w:szCs w:val="22"/>
        </w:rPr>
        <w:t xml:space="preserve"> credits*</w:t>
      </w:r>
      <w:r>
        <w:rPr>
          <w:sz w:val="22"/>
          <w:szCs w:val="22"/>
        </w:rPr>
        <w:t xml:space="preserve"> </w:t>
      </w:r>
    </w:p>
    <w:p w14:paraId="2E448044" w14:textId="77777777" w:rsidR="001514A8" w:rsidRPr="003409BC" w:rsidRDefault="001514A8" w:rsidP="00B321F9">
      <w:pPr>
        <w:rPr>
          <w:rFonts w:ascii="Calibri" w:hAnsi="Calibri" w:cs="Calibri"/>
          <w:sz w:val="22"/>
          <w:szCs w:val="22"/>
        </w:rPr>
      </w:pPr>
    </w:p>
    <w:p w14:paraId="14F98B38" w14:textId="77777777" w:rsidR="001514A8" w:rsidRPr="001514A8" w:rsidRDefault="001514A8" w:rsidP="001C41A6">
      <w:pPr>
        <w:jc w:val="both"/>
        <w:rPr>
          <w:rFonts w:ascii="Calibri" w:hAnsi="Calibri" w:cs="Calibri"/>
          <w:sz w:val="22"/>
          <w:szCs w:val="22"/>
        </w:rPr>
      </w:pPr>
      <w:r w:rsidRPr="001514A8">
        <w:rPr>
          <w:rFonts w:ascii="Calibri" w:hAnsi="Calibri" w:cs="Calibri"/>
          <w:sz w:val="22"/>
          <w:szCs w:val="22"/>
        </w:rPr>
        <w:t>Beginning with the 202</w:t>
      </w:r>
      <w:r w:rsidR="001C41A6">
        <w:rPr>
          <w:rFonts w:ascii="Calibri" w:hAnsi="Calibri" w:cs="Calibri"/>
          <w:sz w:val="22"/>
          <w:szCs w:val="22"/>
        </w:rPr>
        <w:t>5</w:t>
      </w:r>
      <w:r w:rsidRPr="001514A8">
        <w:rPr>
          <w:rFonts w:ascii="Calibri" w:hAnsi="Calibri" w:cs="Calibri"/>
          <w:sz w:val="22"/>
          <w:szCs w:val="22"/>
        </w:rPr>
        <w:t>-202</w:t>
      </w:r>
      <w:r w:rsidR="001C41A6">
        <w:rPr>
          <w:rFonts w:ascii="Calibri" w:hAnsi="Calibri" w:cs="Calibri"/>
          <w:sz w:val="22"/>
          <w:szCs w:val="22"/>
        </w:rPr>
        <w:t>6</w:t>
      </w:r>
      <w:r w:rsidRPr="001514A8">
        <w:rPr>
          <w:rFonts w:ascii="Calibri" w:hAnsi="Calibri" w:cs="Calibri"/>
          <w:sz w:val="22"/>
          <w:szCs w:val="22"/>
        </w:rPr>
        <w:t xml:space="preserve"> aid year, the Pell Grant, Washington College Grant and College Bound Scholarship will no longer be based on enrollment status.  Instead, disbursement amounts will be calculated using </w:t>
      </w:r>
      <w:r w:rsidRPr="001514A8">
        <w:rPr>
          <w:rFonts w:ascii="Calibri" w:hAnsi="Calibri" w:cs="Calibri"/>
          <w:b/>
          <w:sz w:val="22"/>
          <w:szCs w:val="22"/>
        </w:rPr>
        <w:t>Enrollment Intensity</w:t>
      </w:r>
      <w:r w:rsidRPr="001514A8">
        <w:rPr>
          <w:rFonts w:ascii="Calibri" w:hAnsi="Calibri" w:cs="Calibri"/>
          <w:sz w:val="22"/>
          <w:szCs w:val="22"/>
        </w:rPr>
        <w:t xml:space="preserve"> – which is a percentage value based on the number of credits a student is enrolled in (rounded to the nearest whole percent) at Census.  The chart below illustrates how enrollment intensity is determined based on credit load:</w:t>
      </w:r>
    </w:p>
    <w:p w14:paraId="445EA701" w14:textId="77777777" w:rsidR="001514A8" w:rsidRPr="00254902" w:rsidRDefault="001514A8" w:rsidP="001514A8">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520"/>
        <w:gridCol w:w="3150"/>
      </w:tblGrid>
      <w:tr w:rsidR="001514A8" w:rsidRPr="00254902" w14:paraId="0B3485B8" w14:textId="77777777" w:rsidTr="001514A8">
        <w:trPr>
          <w:trHeight w:val="347"/>
          <w:jc w:val="center"/>
        </w:trPr>
        <w:tc>
          <w:tcPr>
            <w:tcW w:w="3330" w:type="dxa"/>
          </w:tcPr>
          <w:p w14:paraId="7E39AC06" w14:textId="77777777" w:rsidR="001514A8" w:rsidRPr="001514A8" w:rsidRDefault="001514A8" w:rsidP="003409BC">
            <w:pPr>
              <w:jc w:val="center"/>
              <w:rPr>
                <w:rFonts w:ascii="Calibri" w:hAnsi="Calibri" w:cs="Calibri"/>
                <w:b/>
              </w:rPr>
            </w:pPr>
            <w:r w:rsidRPr="001514A8">
              <w:rPr>
                <w:rFonts w:ascii="Calibri" w:hAnsi="Calibri" w:cs="Calibri"/>
                <w:b/>
              </w:rPr>
              <w:t>Credit Hours</w:t>
            </w:r>
          </w:p>
        </w:tc>
        <w:tc>
          <w:tcPr>
            <w:tcW w:w="2520" w:type="dxa"/>
          </w:tcPr>
          <w:p w14:paraId="05895A25" w14:textId="77777777" w:rsidR="001514A8" w:rsidRPr="001514A8" w:rsidRDefault="001514A8" w:rsidP="003409BC">
            <w:pPr>
              <w:jc w:val="center"/>
              <w:rPr>
                <w:rFonts w:ascii="Calibri" w:hAnsi="Calibri" w:cs="Calibri"/>
                <w:b/>
              </w:rPr>
            </w:pPr>
            <w:r w:rsidRPr="001514A8">
              <w:rPr>
                <w:rFonts w:ascii="Calibri" w:hAnsi="Calibri" w:cs="Calibri"/>
                <w:b/>
              </w:rPr>
              <w:t>Enrollment Category</w:t>
            </w:r>
          </w:p>
        </w:tc>
        <w:tc>
          <w:tcPr>
            <w:tcW w:w="3150" w:type="dxa"/>
          </w:tcPr>
          <w:p w14:paraId="0153E994" w14:textId="77777777" w:rsidR="001514A8" w:rsidRPr="001514A8" w:rsidRDefault="001514A8" w:rsidP="003409BC">
            <w:pPr>
              <w:jc w:val="center"/>
              <w:rPr>
                <w:rFonts w:ascii="Calibri" w:hAnsi="Calibri" w:cs="Calibri"/>
                <w:b/>
              </w:rPr>
            </w:pPr>
            <w:r w:rsidRPr="001514A8">
              <w:rPr>
                <w:rFonts w:ascii="Calibri" w:hAnsi="Calibri" w:cs="Calibri"/>
                <w:b/>
              </w:rPr>
              <w:t>Enrollment Intensity</w:t>
            </w:r>
          </w:p>
        </w:tc>
      </w:tr>
      <w:tr w:rsidR="001514A8" w:rsidRPr="00254902" w14:paraId="0FCCE3E3" w14:textId="77777777" w:rsidTr="001514A8">
        <w:trPr>
          <w:jc w:val="center"/>
        </w:trPr>
        <w:tc>
          <w:tcPr>
            <w:tcW w:w="3330" w:type="dxa"/>
          </w:tcPr>
          <w:p w14:paraId="78FAAB19" w14:textId="77777777" w:rsidR="001514A8" w:rsidRPr="001514A8" w:rsidRDefault="001514A8" w:rsidP="003409BC">
            <w:pPr>
              <w:jc w:val="center"/>
              <w:rPr>
                <w:rFonts w:ascii="Calibri" w:hAnsi="Calibri" w:cs="Calibri"/>
              </w:rPr>
            </w:pPr>
            <w:r w:rsidRPr="001514A8">
              <w:rPr>
                <w:rFonts w:ascii="Calibri" w:hAnsi="Calibri" w:cs="Calibri"/>
              </w:rPr>
              <w:t>12 (or more)</w:t>
            </w:r>
          </w:p>
        </w:tc>
        <w:tc>
          <w:tcPr>
            <w:tcW w:w="2520" w:type="dxa"/>
          </w:tcPr>
          <w:p w14:paraId="4382DFD2" w14:textId="77777777" w:rsidR="001514A8" w:rsidRPr="001514A8" w:rsidRDefault="001514A8" w:rsidP="003409BC">
            <w:pPr>
              <w:jc w:val="center"/>
              <w:rPr>
                <w:rFonts w:ascii="Calibri" w:hAnsi="Calibri" w:cs="Calibri"/>
              </w:rPr>
            </w:pPr>
            <w:r w:rsidRPr="001514A8">
              <w:rPr>
                <w:rFonts w:ascii="Calibri" w:hAnsi="Calibri" w:cs="Calibri"/>
              </w:rPr>
              <w:t>Full-Time</w:t>
            </w:r>
          </w:p>
        </w:tc>
        <w:tc>
          <w:tcPr>
            <w:tcW w:w="3150" w:type="dxa"/>
          </w:tcPr>
          <w:p w14:paraId="0ED15595" w14:textId="77777777" w:rsidR="001514A8" w:rsidRPr="001514A8" w:rsidRDefault="001514A8" w:rsidP="003409BC">
            <w:pPr>
              <w:jc w:val="center"/>
              <w:rPr>
                <w:rFonts w:ascii="Calibri" w:hAnsi="Calibri" w:cs="Calibri"/>
              </w:rPr>
            </w:pPr>
            <w:r w:rsidRPr="001514A8">
              <w:rPr>
                <w:rFonts w:ascii="Calibri" w:hAnsi="Calibri" w:cs="Calibri"/>
              </w:rPr>
              <w:t>100% of the award</w:t>
            </w:r>
          </w:p>
        </w:tc>
      </w:tr>
      <w:tr w:rsidR="001514A8" w:rsidRPr="00254902" w14:paraId="3F7F9212" w14:textId="77777777" w:rsidTr="001514A8">
        <w:trPr>
          <w:jc w:val="center"/>
        </w:trPr>
        <w:tc>
          <w:tcPr>
            <w:tcW w:w="3330" w:type="dxa"/>
          </w:tcPr>
          <w:p w14:paraId="424F3C21" w14:textId="77777777" w:rsidR="001514A8" w:rsidRPr="001514A8" w:rsidRDefault="001514A8" w:rsidP="003409BC">
            <w:pPr>
              <w:jc w:val="center"/>
              <w:rPr>
                <w:rFonts w:ascii="Calibri" w:hAnsi="Calibri" w:cs="Calibri"/>
              </w:rPr>
            </w:pPr>
            <w:r w:rsidRPr="001514A8">
              <w:rPr>
                <w:rFonts w:ascii="Calibri" w:hAnsi="Calibri" w:cs="Calibri"/>
              </w:rPr>
              <w:t>11</w:t>
            </w:r>
          </w:p>
        </w:tc>
        <w:tc>
          <w:tcPr>
            <w:tcW w:w="2520" w:type="dxa"/>
            <w:vMerge w:val="restart"/>
            <w:vAlign w:val="center"/>
          </w:tcPr>
          <w:p w14:paraId="74C28E75" w14:textId="77777777" w:rsidR="001514A8" w:rsidRPr="001514A8" w:rsidRDefault="001514A8" w:rsidP="003409BC">
            <w:pPr>
              <w:jc w:val="center"/>
              <w:rPr>
                <w:rFonts w:ascii="Calibri" w:hAnsi="Calibri" w:cs="Calibri"/>
              </w:rPr>
            </w:pPr>
            <w:r w:rsidRPr="001514A8">
              <w:rPr>
                <w:rFonts w:ascii="Calibri" w:hAnsi="Calibri" w:cs="Calibri"/>
              </w:rPr>
              <w:t>Three-Quarter Time</w:t>
            </w:r>
          </w:p>
        </w:tc>
        <w:tc>
          <w:tcPr>
            <w:tcW w:w="3150" w:type="dxa"/>
          </w:tcPr>
          <w:p w14:paraId="66E021DA" w14:textId="77777777" w:rsidR="001514A8" w:rsidRPr="001514A8" w:rsidRDefault="001514A8" w:rsidP="003409BC">
            <w:pPr>
              <w:jc w:val="center"/>
              <w:rPr>
                <w:rFonts w:ascii="Calibri" w:hAnsi="Calibri" w:cs="Calibri"/>
              </w:rPr>
            </w:pPr>
            <w:r w:rsidRPr="001514A8">
              <w:rPr>
                <w:rFonts w:ascii="Calibri" w:hAnsi="Calibri" w:cs="Calibri"/>
              </w:rPr>
              <w:t>93% of the award</w:t>
            </w:r>
          </w:p>
        </w:tc>
      </w:tr>
      <w:tr w:rsidR="001514A8" w:rsidRPr="00254902" w14:paraId="6CD32002" w14:textId="77777777" w:rsidTr="001514A8">
        <w:trPr>
          <w:jc w:val="center"/>
        </w:trPr>
        <w:tc>
          <w:tcPr>
            <w:tcW w:w="3330" w:type="dxa"/>
          </w:tcPr>
          <w:p w14:paraId="1C138945" w14:textId="77777777" w:rsidR="001514A8" w:rsidRPr="001514A8" w:rsidRDefault="001514A8" w:rsidP="003409BC">
            <w:pPr>
              <w:jc w:val="center"/>
              <w:rPr>
                <w:rFonts w:ascii="Calibri" w:hAnsi="Calibri" w:cs="Calibri"/>
              </w:rPr>
            </w:pPr>
            <w:r w:rsidRPr="001514A8">
              <w:rPr>
                <w:rFonts w:ascii="Calibri" w:hAnsi="Calibri" w:cs="Calibri"/>
              </w:rPr>
              <w:t>10</w:t>
            </w:r>
          </w:p>
        </w:tc>
        <w:tc>
          <w:tcPr>
            <w:tcW w:w="2520" w:type="dxa"/>
            <w:vMerge/>
          </w:tcPr>
          <w:p w14:paraId="3485CF8B" w14:textId="77777777" w:rsidR="001514A8" w:rsidRPr="001514A8" w:rsidRDefault="001514A8" w:rsidP="003409BC">
            <w:pPr>
              <w:jc w:val="center"/>
              <w:rPr>
                <w:rFonts w:ascii="Calibri" w:hAnsi="Calibri" w:cs="Calibri"/>
              </w:rPr>
            </w:pPr>
          </w:p>
        </w:tc>
        <w:tc>
          <w:tcPr>
            <w:tcW w:w="3150" w:type="dxa"/>
          </w:tcPr>
          <w:p w14:paraId="0C77D92C" w14:textId="77777777" w:rsidR="001514A8" w:rsidRPr="001514A8" w:rsidRDefault="001514A8" w:rsidP="003409BC">
            <w:pPr>
              <w:jc w:val="center"/>
              <w:rPr>
                <w:rFonts w:ascii="Calibri" w:hAnsi="Calibri" w:cs="Calibri"/>
              </w:rPr>
            </w:pPr>
            <w:r w:rsidRPr="001514A8">
              <w:rPr>
                <w:rFonts w:ascii="Calibri" w:hAnsi="Calibri" w:cs="Calibri"/>
              </w:rPr>
              <w:t>82% of the award</w:t>
            </w:r>
          </w:p>
        </w:tc>
      </w:tr>
      <w:tr w:rsidR="001514A8" w:rsidRPr="00254902" w14:paraId="1CBF1CB1" w14:textId="77777777" w:rsidTr="001514A8">
        <w:trPr>
          <w:jc w:val="center"/>
        </w:trPr>
        <w:tc>
          <w:tcPr>
            <w:tcW w:w="3330" w:type="dxa"/>
          </w:tcPr>
          <w:p w14:paraId="7A7FE150" w14:textId="77777777" w:rsidR="001514A8" w:rsidRPr="001514A8" w:rsidRDefault="001514A8" w:rsidP="003409BC">
            <w:pPr>
              <w:jc w:val="center"/>
              <w:rPr>
                <w:rFonts w:ascii="Calibri" w:hAnsi="Calibri" w:cs="Calibri"/>
              </w:rPr>
            </w:pPr>
            <w:r w:rsidRPr="001514A8">
              <w:rPr>
                <w:rFonts w:ascii="Calibri" w:hAnsi="Calibri" w:cs="Calibri"/>
              </w:rPr>
              <w:t>9</w:t>
            </w:r>
          </w:p>
        </w:tc>
        <w:tc>
          <w:tcPr>
            <w:tcW w:w="2520" w:type="dxa"/>
            <w:vMerge/>
          </w:tcPr>
          <w:p w14:paraId="16F3AC2E" w14:textId="77777777" w:rsidR="001514A8" w:rsidRPr="001514A8" w:rsidRDefault="001514A8" w:rsidP="003409BC">
            <w:pPr>
              <w:jc w:val="center"/>
              <w:rPr>
                <w:rFonts w:ascii="Calibri" w:hAnsi="Calibri" w:cs="Calibri"/>
              </w:rPr>
            </w:pPr>
          </w:p>
        </w:tc>
        <w:tc>
          <w:tcPr>
            <w:tcW w:w="3150" w:type="dxa"/>
          </w:tcPr>
          <w:p w14:paraId="1D212CC4" w14:textId="77777777" w:rsidR="001514A8" w:rsidRPr="001514A8" w:rsidRDefault="001514A8" w:rsidP="003409BC">
            <w:pPr>
              <w:jc w:val="center"/>
              <w:rPr>
                <w:rFonts w:ascii="Calibri" w:hAnsi="Calibri" w:cs="Calibri"/>
              </w:rPr>
            </w:pPr>
            <w:r w:rsidRPr="001514A8">
              <w:rPr>
                <w:rFonts w:ascii="Calibri" w:hAnsi="Calibri" w:cs="Calibri"/>
              </w:rPr>
              <w:t>75% of the award</w:t>
            </w:r>
          </w:p>
        </w:tc>
      </w:tr>
      <w:tr w:rsidR="001514A8" w:rsidRPr="00254902" w14:paraId="4B749EC1" w14:textId="77777777" w:rsidTr="001514A8">
        <w:trPr>
          <w:jc w:val="center"/>
        </w:trPr>
        <w:tc>
          <w:tcPr>
            <w:tcW w:w="3330" w:type="dxa"/>
          </w:tcPr>
          <w:p w14:paraId="6ABC82B2" w14:textId="77777777" w:rsidR="001514A8" w:rsidRPr="001514A8" w:rsidRDefault="001514A8" w:rsidP="003409BC">
            <w:pPr>
              <w:jc w:val="center"/>
              <w:rPr>
                <w:rFonts w:ascii="Calibri" w:hAnsi="Calibri" w:cs="Calibri"/>
              </w:rPr>
            </w:pPr>
            <w:r w:rsidRPr="001514A8">
              <w:rPr>
                <w:rFonts w:ascii="Calibri" w:hAnsi="Calibri" w:cs="Calibri"/>
              </w:rPr>
              <w:t>8</w:t>
            </w:r>
          </w:p>
        </w:tc>
        <w:tc>
          <w:tcPr>
            <w:tcW w:w="2520" w:type="dxa"/>
            <w:vMerge w:val="restart"/>
            <w:vAlign w:val="center"/>
          </w:tcPr>
          <w:p w14:paraId="5CEEE30B" w14:textId="77777777" w:rsidR="001514A8" w:rsidRPr="001514A8" w:rsidRDefault="001514A8" w:rsidP="003409BC">
            <w:pPr>
              <w:jc w:val="center"/>
              <w:rPr>
                <w:rFonts w:ascii="Calibri" w:hAnsi="Calibri" w:cs="Calibri"/>
              </w:rPr>
            </w:pPr>
            <w:r w:rsidRPr="001514A8">
              <w:rPr>
                <w:rFonts w:ascii="Calibri" w:hAnsi="Calibri" w:cs="Calibri"/>
              </w:rPr>
              <w:t>Half-Time</w:t>
            </w:r>
          </w:p>
        </w:tc>
        <w:tc>
          <w:tcPr>
            <w:tcW w:w="3150" w:type="dxa"/>
          </w:tcPr>
          <w:p w14:paraId="53890AEA" w14:textId="77777777" w:rsidR="001514A8" w:rsidRPr="001514A8" w:rsidRDefault="001514A8" w:rsidP="003409BC">
            <w:pPr>
              <w:jc w:val="center"/>
              <w:rPr>
                <w:rFonts w:ascii="Calibri" w:hAnsi="Calibri" w:cs="Calibri"/>
              </w:rPr>
            </w:pPr>
            <w:r w:rsidRPr="001514A8">
              <w:rPr>
                <w:rFonts w:ascii="Calibri" w:hAnsi="Calibri" w:cs="Calibri"/>
              </w:rPr>
              <w:t>67% of the award</w:t>
            </w:r>
          </w:p>
        </w:tc>
      </w:tr>
      <w:tr w:rsidR="001514A8" w:rsidRPr="00254902" w14:paraId="2EEFAC0D" w14:textId="77777777" w:rsidTr="001514A8">
        <w:trPr>
          <w:jc w:val="center"/>
        </w:trPr>
        <w:tc>
          <w:tcPr>
            <w:tcW w:w="3330" w:type="dxa"/>
          </w:tcPr>
          <w:p w14:paraId="53FB3398" w14:textId="77777777" w:rsidR="001514A8" w:rsidRPr="001514A8" w:rsidRDefault="001514A8" w:rsidP="003409BC">
            <w:pPr>
              <w:jc w:val="center"/>
              <w:rPr>
                <w:rFonts w:ascii="Calibri" w:hAnsi="Calibri" w:cs="Calibri"/>
              </w:rPr>
            </w:pPr>
            <w:r w:rsidRPr="001514A8">
              <w:rPr>
                <w:rFonts w:ascii="Calibri" w:hAnsi="Calibri" w:cs="Calibri"/>
              </w:rPr>
              <w:t>7</w:t>
            </w:r>
          </w:p>
        </w:tc>
        <w:tc>
          <w:tcPr>
            <w:tcW w:w="2520" w:type="dxa"/>
            <w:vMerge/>
            <w:vAlign w:val="center"/>
          </w:tcPr>
          <w:p w14:paraId="66F7341F" w14:textId="77777777" w:rsidR="001514A8" w:rsidRPr="001514A8" w:rsidRDefault="001514A8" w:rsidP="003409BC">
            <w:pPr>
              <w:jc w:val="center"/>
              <w:rPr>
                <w:rFonts w:ascii="Calibri" w:hAnsi="Calibri" w:cs="Calibri"/>
              </w:rPr>
            </w:pPr>
          </w:p>
        </w:tc>
        <w:tc>
          <w:tcPr>
            <w:tcW w:w="3150" w:type="dxa"/>
          </w:tcPr>
          <w:p w14:paraId="3497644D" w14:textId="77777777" w:rsidR="001514A8" w:rsidRPr="001514A8" w:rsidRDefault="001514A8" w:rsidP="003409BC">
            <w:pPr>
              <w:jc w:val="center"/>
              <w:rPr>
                <w:rFonts w:ascii="Calibri" w:hAnsi="Calibri" w:cs="Calibri"/>
              </w:rPr>
            </w:pPr>
            <w:r w:rsidRPr="001514A8">
              <w:rPr>
                <w:rFonts w:ascii="Calibri" w:hAnsi="Calibri" w:cs="Calibri"/>
              </w:rPr>
              <w:t>58% of the award</w:t>
            </w:r>
          </w:p>
        </w:tc>
      </w:tr>
      <w:tr w:rsidR="001514A8" w:rsidRPr="00254902" w14:paraId="3659FA94" w14:textId="77777777" w:rsidTr="001514A8">
        <w:trPr>
          <w:jc w:val="center"/>
        </w:trPr>
        <w:tc>
          <w:tcPr>
            <w:tcW w:w="3330" w:type="dxa"/>
          </w:tcPr>
          <w:p w14:paraId="3BA82C8A" w14:textId="77777777" w:rsidR="001514A8" w:rsidRPr="001514A8" w:rsidRDefault="001514A8" w:rsidP="003409BC">
            <w:pPr>
              <w:jc w:val="center"/>
              <w:rPr>
                <w:rFonts w:ascii="Calibri" w:hAnsi="Calibri" w:cs="Calibri"/>
              </w:rPr>
            </w:pPr>
            <w:r w:rsidRPr="001514A8">
              <w:rPr>
                <w:rFonts w:ascii="Calibri" w:hAnsi="Calibri" w:cs="Calibri"/>
              </w:rPr>
              <w:t>6</w:t>
            </w:r>
          </w:p>
        </w:tc>
        <w:tc>
          <w:tcPr>
            <w:tcW w:w="2520" w:type="dxa"/>
            <w:vMerge/>
            <w:vAlign w:val="center"/>
          </w:tcPr>
          <w:p w14:paraId="3DC17E5A" w14:textId="77777777" w:rsidR="001514A8" w:rsidRPr="001514A8" w:rsidRDefault="001514A8" w:rsidP="003409BC">
            <w:pPr>
              <w:jc w:val="center"/>
              <w:rPr>
                <w:rFonts w:ascii="Calibri" w:hAnsi="Calibri" w:cs="Calibri"/>
              </w:rPr>
            </w:pPr>
          </w:p>
        </w:tc>
        <w:tc>
          <w:tcPr>
            <w:tcW w:w="3150" w:type="dxa"/>
          </w:tcPr>
          <w:p w14:paraId="431922D4" w14:textId="77777777" w:rsidR="001514A8" w:rsidRPr="001514A8" w:rsidRDefault="001514A8" w:rsidP="003409BC">
            <w:pPr>
              <w:jc w:val="center"/>
              <w:rPr>
                <w:rFonts w:ascii="Calibri" w:hAnsi="Calibri" w:cs="Calibri"/>
              </w:rPr>
            </w:pPr>
            <w:r w:rsidRPr="001514A8">
              <w:rPr>
                <w:rFonts w:ascii="Calibri" w:hAnsi="Calibri" w:cs="Calibri"/>
              </w:rPr>
              <w:t>50% of the award</w:t>
            </w:r>
          </w:p>
        </w:tc>
      </w:tr>
      <w:tr w:rsidR="001514A8" w:rsidRPr="00254902" w14:paraId="5C3BEFFA" w14:textId="77777777" w:rsidTr="001514A8">
        <w:trPr>
          <w:jc w:val="center"/>
        </w:trPr>
        <w:tc>
          <w:tcPr>
            <w:tcW w:w="3330" w:type="dxa"/>
          </w:tcPr>
          <w:p w14:paraId="34EED842" w14:textId="77777777" w:rsidR="001514A8" w:rsidRPr="001514A8" w:rsidRDefault="001514A8" w:rsidP="003409BC">
            <w:pPr>
              <w:jc w:val="center"/>
              <w:rPr>
                <w:rFonts w:ascii="Calibri" w:hAnsi="Calibri" w:cs="Calibri"/>
              </w:rPr>
            </w:pPr>
            <w:r w:rsidRPr="001514A8">
              <w:rPr>
                <w:rFonts w:ascii="Calibri" w:hAnsi="Calibri" w:cs="Calibri"/>
              </w:rPr>
              <w:t>5</w:t>
            </w:r>
          </w:p>
        </w:tc>
        <w:tc>
          <w:tcPr>
            <w:tcW w:w="2520" w:type="dxa"/>
            <w:vMerge w:val="restart"/>
            <w:vAlign w:val="center"/>
          </w:tcPr>
          <w:p w14:paraId="49EB234F" w14:textId="77777777" w:rsidR="001514A8" w:rsidRPr="001514A8" w:rsidRDefault="001514A8" w:rsidP="003409BC">
            <w:pPr>
              <w:jc w:val="center"/>
              <w:rPr>
                <w:rFonts w:ascii="Calibri" w:hAnsi="Calibri" w:cs="Calibri"/>
              </w:rPr>
            </w:pPr>
            <w:r w:rsidRPr="001514A8">
              <w:rPr>
                <w:rFonts w:ascii="Calibri" w:hAnsi="Calibri" w:cs="Calibri"/>
              </w:rPr>
              <w:t>Less than Half-Time</w:t>
            </w:r>
          </w:p>
        </w:tc>
        <w:tc>
          <w:tcPr>
            <w:tcW w:w="3150" w:type="dxa"/>
          </w:tcPr>
          <w:p w14:paraId="5CB6648A" w14:textId="77777777" w:rsidR="001514A8" w:rsidRPr="001514A8" w:rsidRDefault="001514A8" w:rsidP="003409BC">
            <w:pPr>
              <w:jc w:val="center"/>
              <w:rPr>
                <w:rFonts w:ascii="Calibri" w:hAnsi="Calibri" w:cs="Calibri"/>
              </w:rPr>
            </w:pPr>
            <w:r w:rsidRPr="001514A8">
              <w:rPr>
                <w:rFonts w:ascii="Calibri" w:hAnsi="Calibri" w:cs="Calibri"/>
              </w:rPr>
              <w:t>42% of the award</w:t>
            </w:r>
          </w:p>
        </w:tc>
      </w:tr>
      <w:tr w:rsidR="001514A8" w:rsidRPr="00254902" w14:paraId="4014CA82" w14:textId="77777777" w:rsidTr="001514A8">
        <w:trPr>
          <w:jc w:val="center"/>
        </w:trPr>
        <w:tc>
          <w:tcPr>
            <w:tcW w:w="3330" w:type="dxa"/>
          </w:tcPr>
          <w:p w14:paraId="02722E9A" w14:textId="77777777" w:rsidR="001514A8" w:rsidRPr="001514A8" w:rsidRDefault="001514A8" w:rsidP="003409BC">
            <w:pPr>
              <w:jc w:val="center"/>
              <w:rPr>
                <w:rFonts w:ascii="Calibri" w:hAnsi="Calibri" w:cs="Calibri"/>
              </w:rPr>
            </w:pPr>
            <w:r w:rsidRPr="001514A8">
              <w:rPr>
                <w:rFonts w:ascii="Calibri" w:hAnsi="Calibri" w:cs="Calibri"/>
              </w:rPr>
              <w:t>4</w:t>
            </w:r>
          </w:p>
        </w:tc>
        <w:tc>
          <w:tcPr>
            <w:tcW w:w="2520" w:type="dxa"/>
            <w:vMerge/>
          </w:tcPr>
          <w:p w14:paraId="7172892F" w14:textId="77777777" w:rsidR="001514A8" w:rsidRPr="001514A8" w:rsidRDefault="001514A8" w:rsidP="003409BC">
            <w:pPr>
              <w:jc w:val="center"/>
              <w:rPr>
                <w:rFonts w:ascii="Calibri" w:hAnsi="Calibri" w:cs="Calibri"/>
              </w:rPr>
            </w:pPr>
          </w:p>
        </w:tc>
        <w:tc>
          <w:tcPr>
            <w:tcW w:w="3150" w:type="dxa"/>
          </w:tcPr>
          <w:p w14:paraId="5205B59B" w14:textId="77777777" w:rsidR="001514A8" w:rsidRPr="001514A8" w:rsidRDefault="001514A8" w:rsidP="003409BC">
            <w:pPr>
              <w:jc w:val="center"/>
              <w:rPr>
                <w:rFonts w:ascii="Calibri" w:hAnsi="Calibri" w:cs="Calibri"/>
              </w:rPr>
            </w:pPr>
            <w:r w:rsidRPr="001514A8">
              <w:rPr>
                <w:rFonts w:ascii="Calibri" w:hAnsi="Calibri" w:cs="Calibri"/>
              </w:rPr>
              <w:t>33% of the award</w:t>
            </w:r>
          </w:p>
        </w:tc>
      </w:tr>
      <w:tr w:rsidR="001514A8" w:rsidRPr="00254902" w14:paraId="6DA40631" w14:textId="77777777" w:rsidTr="001514A8">
        <w:trPr>
          <w:jc w:val="center"/>
        </w:trPr>
        <w:tc>
          <w:tcPr>
            <w:tcW w:w="3330" w:type="dxa"/>
          </w:tcPr>
          <w:p w14:paraId="78A9B6D6" w14:textId="77777777" w:rsidR="001514A8" w:rsidRPr="001514A8" w:rsidRDefault="001514A8" w:rsidP="003409BC">
            <w:pPr>
              <w:jc w:val="center"/>
              <w:rPr>
                <w:rFonts w:ascii="Calibri" w:hAnsi="Calibri" w:cs="Calibri"/>
              </w:rPr>
            </w:pPr>
            <w:r w:rsidRPr="001514A8">
              <w:rPr>
                <w:rFonts w:ascii="Calibri" w:hAnsi="Calibri" w:cs="Calibri"/>
              </w:rPr>
              <w:t>3</w:t>
            </w:r>
          </w:p>
        </w:tc>
        <w:tc>
          <w:tcPr>
            <w:tcW w:w="2520" w:type="dxa"/>
            <w:vMerge/>
          </w:tcPr>
          <w:p w14:paraId="21D8393D" w14:textId="77777777" w:rsidR="001514A8" w:rsidRPr="001514A8" w:rsidRDefault="001514A8" w:rsidP="003409BC">
            <w:pPr>
              <w:jc w:val="center"/>
              <w:rPr>
                <w:rFonts w:ascii="Calibri" w:hAnsi="Calibri" w:cs="Calibri"/>
              </w:rPr>
            </w:pPr>
          </w:p>
        </w:tc>
        <w:tc>
          <w:tcPr>
            <w:tcW w:w="3150" w:type="dxa"/>
          </w:tcPr>
          <w:p w14:paraId="7F18989F" w14:textId="77777777" w:rsidR="001514A8" w:rsidRPr="001514A8" w:rsidRDefault="001514A8" w:rsidP="003409BC">
            <w:pPr>
              <w:jc w:val="center"/>
              <w:rPr>
                <w:rFonts w:ascii="Calibri" w:hAnsi="Calibri" w:cs="Calibri"/>
              </w:rPr>
            </w:pPr>
            <w:r w:rsidRPr="001514A8">
              <w:rPr>
                <w:rFonts w:ascii="Calibri" w:hAnsi="Calibri" w:cs="Calibri"/>
              </w:rPr>
              <w:t>25% of the award</w:t>
            </w:r>
          </w:p>
        </w:tc>
      </w:tr>
      <w:tr w:rsidR="001514A8" w:rsidRPr="00254902" w14:paraId="3CF0B73C" w14:textId="77777777" w:rsidTr="001514A8">
        <w:trPr>
          <w:jc w:val="center"/>
        </w:trPr>
        <w:tc>
          <w:tcPr>
            <w:tcW w:w="3330" w:type="dxa"/>
          </w:tcPr>
          <w:p w14:paraId="488E7E83" w14:textId="77777777" w:rsidR="001514A8" w:rsidRPr="001514A8" w:rsidRDefault="001514A8" w:rsidP="003409BC">
            <w:pPr>
              <w:jc w:val="center"/>
              <w:rPr>
                <w:rFonts w:ascii="Calibri" w:hAnsi="Calibri" w:cs="Calibri"/>
              </w:rPr>
            </w:pPr>
            <w:r w:rsidRPr="001514A8">
              <w:rPr>
                <w:rFonts w:ascii="Calibri" w:hAnsi="Calibri" w:cs="Calibri"/>
              </w:rPr>
              <w:t>2</w:t>
            </w:r>
          </w:p>
        </w:tc>
        <w:tc>
          <w:tcPr>
            <w:tcW w:w="2520" w:type="dxa"/>
            <w:vMerge/>
          </w:tcPr>
          <w:p w14:paraId="1D98330C" w14:textId="77777777" w:rsidR="001514A8" w:rsidRPr="001514A8" w:rsidRDefault="001514A8" w:rsidP="003409BC">
            <w:pPr>
              <w:jc w:val="center"/>
              <w:rPr>
                <w:rFonts w:ascii="Calibri" w:hAnsi="Calibri" w:cs="Calibri"/>
              </w:rPr>
            </w:pPr>
          </w:p>
        </w:tc>
        <w:tc>
          <w:tcPr>
            <w:tcW w:w="3150" w:type="dxa"/>
          </w:tcPr>
          <w:p w14:paraId="72EB0376" w14:textId="77777777" w:rsidR="001514A8" w:rsidRPr="001514A8" w:rsidRDefault="001514A8" w:rsidP="003409BC">
            <w:pPr>
              <w:jc w:val="center"/>
              <w:rPr>
                <w:rFonts w:ascii="Calibri" w:hAnsi="Calibri" w:cs="Calibri"/>
              </w:rPr>
            </w:pPr>
            <w:r w:rsidRPr="001514A8">
              <w:rPr>
                <w:rFonts w:ascii="Calibri" w:hAnsi="Calibri" w:cs="Calibri"/>
              </w:rPr>
              <w:t>17% of the award</w:t>
            </w:r>
          </w:p>
        </w:tc>
      </w:tr>
      <w:tr w:rsidR="001514A8" w:rsidRPr="00254902" w14:paraId="1EBCFE8A" w14:textId="77777777" w:rsidTr="001514A8">
        <w:trPr>
          <w:jc w:val="center"/>
        </w:trPr>
        <w:tc>
          <w:tcPr>
            <w:tcW w:w="3330" w:type="dxa"/>
          </w:tcPr>
          <w:p w14:paraId="79B24BE4" w14:textId="77777777" w:rsidR="001514A8" w:rsidRPr="001514A8" w:rsidRDefault="001514A8" w:rsidP="003409BC">
            <w:pPr>
              <w:jc w:val="center"/>
              <w:rPr>
                <w:rFonts w:ascii="Calibri" w:hAnsi="Calibri" w:cs="Calibri"/>
              </w:rPr>
            </w:pPr>
            <w:r w:rsidRPr="001514A8">
              <w:rPr>
                <w:rFonts w:ascii="Calibri" w:hAnsi="Calibri" w:cs="Calibri"/>
              </w:rPr>
              <w:t>1</w:t>
            </w:r>
          </w:p>
        </w:tc>
        <w:tc>
          <w:tcPr>
            <w:tcW w:w="2520" w:type="dxa"/>
            <w:vMerge/>
          </w:tcPr>
          <w:p w14:paraId="48165487" w14:textId="77777777" w:rsidR="001514A8" w:rsidRPr="001514A8" w:rsidRDefault="001514A8" w:rsidP="003409BC">
            <w:pPr>
              <w:jc w:val="center"/>
              <w:rPr>
                <w:rFonts w:ascii="Calibri" w:hAnsi="Calibri" w:cs="Calibri"/>
              </w:rPr>
            </w:pPr>
          </w:p>
        </w:tc>
        <w:tc>
          <w:tcPr>
            <w:tcW w:w="3150" w:type="dxa"/>
          </w:tcPr>
          <w:p w14:paraId="1BB58BB2" w14:textId="77777777" w:rsidR="001514A8" w:rsidRPr="001514A8" w:rsidRDefault="001514A8" w:rsidP="003409BC">
            <w:pPr>
              <w:jc w:val="center"/>
              <w:rPr>
                <w:rFonts w:ascii="Calibri" w:hAnsi="Calibri" w:cs="Calibri"/>
              </w:rPr>
            </w:pPr>
            <w:r w:rsidRPr="001514A8">
              <w:rPr>
                <w:rFonts w:ascii="Calibri" w:hAnsi="Calibri" w:cs="Calibri"/>
              </w:rPr>
              <w:t>8% of the award</w:t>
            </w:r>
          </w:p>
        </w:tc>
      </w:tr>
    </w:tbl>
    <w:p w14:paraId="537DA390" w14:textId="77777777" w:rsidR="001514A8" w:rsidRPr="00254902" w:rsidRDefault="001514A8" w:rsidP="001514A8">
      <w:pPr>
        <w:jc w:val="center"/>
        <w:rPr>
          <w:rFonts w:ascii="Calibri" w:hAnsi="Calibri" w:cs="Calibri"/>
          <w:sz w:val="22"/>
          <w:szCs w:val="22"/>
        </w:rPr>
      </w:pPr>
    </w:p>
    <w:p w14:paraId="15F8A455" w14:textId="77777777" w:rsidR="001514A8" w:rsidRDefault="001514A8" w:rsidP="001C41A6">
      <w:pPr>
        <w:jc w:val="both"/>
        <w:rPr>
          <w:rFonts w:ascii="Calibri" w:hAnsi="Calibri" w:cs="Calibri"/>
          <w:sz w:val="22"/>
          <w:szCs w:val="22"/>
        </w:rPr>
      </w:pPr>
      <w:r w:rsidRPr="00254902">
        <w:rPr>
          <w:rFonts w:ascii="Calibri" w:hAnsi="Calibri" w:cs="Calibri"/>
          <w:sz w:val="22"/>
          <w:szCs w:val="22"/>
        </w:rPr>
        <w:t xml:space="preserve">Eligibility for some </w:t>
      </w:r>
      <w:r w:rsidRPr="00254902">
        <w:rPr>
          <w:rFonts w:ascii="Calibri" w:hAnsi="Calibri" w:cs="Calibri"/>
          <w:b/>
          <w:sz w:val="22"/>
          <w:szCs w:val="22"/>
        </w:rPr>
        <w:t xml:space="preserve">federal </w:t>
      </w:r>
      <w:r w:rsidRPr="00254902">
        <w:rPr>
          <w:rFonts w:ascii="Calibri" w:hAnsi="Calibri" w:cs="Calibri"/>
          <w:sz w:val="22"/>
          <w:szCs w:val="22"/>
        </w:rPr>
        <w:t>and</w:t>
      </w:r>
      <w:r w:rsidRPr="00254902">
        <w:rPr>
          <w:rFonts w:ascii="Calibri" w:hAnsi="Calibri" w:cs="Calibri"/>
          <w:b/>
          <w:sz w:val="22"/>
          <w:szCs w:val="22"/>
        </w:rPr>
        <w:t xml:space="preserve"> state</w:t>
      </w:r>
      <w:r w:rsidRPr="00254902">
        <w:rPr>
          <w:rFonts w:ascii="Calibri" w:hAnsi="Calibri" w:cs="Calibri"/>
          <w:sz w:val="22"/>
          <w:szCs w:val="22"/>
        </w:rPr>
        <w:t xml:space="preserve"> grant aid is based on the type of aid and the number of credits enrolled in as of the end of the last day to add/drop classes for the quarter, or the number of credits a student is registered in when a financial aid award is made, if after the add/drop deadline for the quarter.  The </w:t>
      </w:r>
      <w:hyperlink r:id="rId8" w:history="1">
        <w:r w:rsidRPr="001C41A6">
          <w:rPr>
            <w:rStyle w:val="Hyperlink"/>
            <w:rFonts w:ascii="Calibri" w:hAnsi="Calibri" w:cs="Calibri"/>
            <w:sz w:val="22"/>
            <w:szCs w:val="22"/>
          </w:rPr>
          <w:t>last day to add/drop classes</w:t>
        </w:r>
      </w:hyperlink>
      <w:r w:rsidRPr="00254902">
        <w:rPr>
          <w:rFonts w:ascii="Calibri" w:hAnsi="Calibri" w:cs="Calibri"/>
          <w:sz w:val="22"/>
          <w:szCs w:val="22"/>
        </w:rPr>
        <w:t xml:space="preserve"> can be found </w:t>
      </w:r>
      <w:r w:rsidR="001C41A6">
        <w:rPr>
          <w:rFonts w:ascii="Calibri" w:hAnsi="Calibri" w:cs="Calibri"/>
          <w:sz w:val="22"/>
          <w:szCs w:val="22"/>
        </w:rPr>
        <w:t>via our website</w:t>
      </w:r>
      <w:r w:rsidRPr="00254902">
        <w:rPr>
          <w:rFonts w:ascii="Calibri" w:hAnsi="Calibri" w:cs="Calibri"/>
          <w:sz w:val="22"/>
          <w:szCs w:val="22"/>
        </w:rPr>
        <w:t>.</w:t>
      </w:r>
    </w:p>
    <w:p w14:paraId="21AD67B1" w14:textId="77777777" w:rsidR="001B4AB0" w:rsidRDefault="001B4AB0" w:rsidP="001C41A6">
      <w:pPr>
        <w:jc w:val="both"/>
        <w:rPr>
          <w:rFonts w:ascii="Calibri" w:hAnsi="Calibri" w:cs="Calibri"/>
          <w:sz w:val="22"/>
          <w:szCs w:val="22"/>
        </w:rPr>
      </w:pPr>
    </w:p>
    <w:p w14:paraId="7EC4FC42" w14:textId="0AEB1E00" w:rsidR="001514A8" w:rsidRDefault="001B4AB0" w:rsidP="001C41A6">
      <w:pPr>
        <w:jc w:val="both"/>
        <w:rPr>
          <w:rFonts w:ascii="Calibri" w:hAnsi="Calibri" w:cs="Calibri"/>
          <w:sz w:val="22"/>
          <w:szCs w:val="22"/>
        </w:rPr>
      </w:pPr>
      <w:r w:rsidRPr="001B4AB0">
        <w:rPr>
          <w:rFonts w:ascii="Calibri" w:hAnsi="Calibri" w:cs="Calibri"/>
          <w:sz w:val="22"/>
          <w:szCs w:val="22"/>
        </w:rPr>
        <w:t xml:space="preserve">Significant changes to the federal loan provisions were enacted by the One Big Beautiful Bill Act (OBBBA). Beginning July 1, 2026, students attending less than full-time (6-11 credits) will have their loan amounts subject to a Schedule of Reduction (SOR), meaning you may not borrow the maximum annual loan limits. Your loan amount will be reduced based on </w:t>
      </w:r>
      <w:proofErr w:type="gramStart"/>
      <w:r w:rsidRPr="001B4AB0">
        <w:rPr>
          <w:rFonts w:ascii="Calibri" w:hAnsi="Calibri" w:cs="Calibri"/>
          <w:sz w:val="22"/>
          <w:szCs w:val="22"/>
        </w:rPr>
        <w:t>a SOR</w:t>
      </w:r>
      <w:proofErr w:type="gramEnd"/>
      <w:r w:rsidRPr="001B4AB0">
        <w:rPr>
          <w:rFonts w:ascii="Calibri" w:hAnsi="Calibri" w:cs="Calibri"/>
          <w:sz w:val="22"/>
          <w:szCs w:val="22"/>
        </w:rPr>
        <w:t xml:space="preserve"> formula. Students who register full-time but ultimately drop or withdraw from a class(es), making their enrollment less than full-time, may have their loan amounts adjusted down.</w:t>
      </w:r>
    </w:p>
    <w:p w14:paraId="5A7375F9" w14:textId="77777777" w:rsidR="001B4AB0" w:rsidRPr="00254902" w:rsidRDefault="001B4AB0" w:rsidP="001C41A6">
      <w:pPr>
        <w:jc w:val="both"/>
        <w:rPr>
          <w:rFonts w:ascii="Calibri" w:hAnsi="Calibri" w:cs="Calibri"/>
          <w:sz w:val="22"/>
          <w:szCs w:val="22"/>
        </w:rPr>
      </w:pPr>
    </w:p>
    <w:p w14:paraId="001EA00A" w14:textId="77777777" w:rsidR="001B4AB0" w:rsidRDefault="001B4AB0" w:rsidP="001C41A6">
      <w:pPr>
        <w:jc w:val="both"/>
        <w:rPr>
          <w:rFonts w:ascii="Calibri" w:hAnsi="Calibri" w:cs="Calibri"/>
          <w:sz w:val="22"/>
          <w:szCs w:val="22"/>
        </w:rPr>
      </w:pPr>
    </w:p>
    <w:p w14:paraId="1C9B8602" w14:textId="77777777" w:rsidR="001B4AB0" w:rsidRDefault="001B4AB0" w:rsidP="001C41A6">
      <w:pPr>
        <w:jc w:val="both"/>
        <w:rPr>
          <w:rFonts w:ascii="Calibri" w:hAnsi="Calibri" w:cs="Calibri"/>
          <w:sz w:val="22"/>
          <w:szCs w:val="22"/>
        </w:rPr>
      </w:pPr>
    </w:p>
    <w:p w14:paraId="1E64D7BD" w14:textId="77777777" w:rsidR="001B4AB0" w:rsidRDefault="001B4AB0" w:rsidP="001C41A6">
      <w:pPr>
        <w:jc w:val="both"/>
        <w:rPr>
          <w:rFonts w:ascii="Calibri" w:hAnsi="Calibri" w:cs="Calibri"/>
          <w:sz w:val="22"/>
          <w:szCs w:val="22"/>
        </w:rPr>
      </w:pPr>
    </w:p>
    <w:p w14:paraId="4A68BA81" w14:textId="77777777" w:rsidR="001B4AB0" w:rsidRDefault="001B4AB0" w:rsidP="001C41A6">
      <w:pPr>
        <w:jc w:val="both"/>
        <w:rPr>
          <w:rFonts w:ascii="Calibri" w:hAnsi="Calibri" w:cs="Calibri"/>
          <w:sz w:val="22"/>
          <w:szCs w:val="22"/>
        </w:rPr>
      </w:pPr>
    </w:p>
    <w:p w14:paraId="41F8F6E3" w14:textId="77777777" w:rsidR="001B4AB0" w:rsidRDefault="001B4AB0" w:rsidP="001C41A6">
      <w:pPr>
        <w:jc w:val="both"/>
        <w:rPr>
          <w:rFonts w:ascii="Calibri" w:hAnsi="Calibri" w:cs="Calibri"/>
          <w:sz w:val="22"/>
          <w:szCs w:val="22"/>
        </w:rPr>
      </w:pPr>
    </w:p>
    <w:p w14:paraId="157D7EC0" w14:textId="77777777" w:rsidR="001B4AB0" w:rsidRDefault="001B4AB0" w:rsidP="001C41A6">
      <w:pPr>
        <w:jc w:val="both"/>
        <w:rPr>
          <w:rFonts w:ascii="Calibri" w:hAnsi="Calibri" w:cs="Calibri"/>
          <w:sz w:val="22"/>
          <w:szCs w:val="22"/>
        </w:rPr>
      </w:pPr>
    </w:p>
    <w:p w14:paraId="68FBFAA2" w14:textId="77777777" w:rsidR="001B4AB0" w:rsidRDefault="001B4AB0" w:rsidP="001C41A6">
      <w:pPr>
        <w:jc w:val="both"/>
        <w:rPr>
          <w:rFonts w:ascii="Calibri" w:hAnsi="Calibri" w:cs="Calibri"/>
          <w:sz w:val="22"/>
          <w:szCs w:val="22"/>
        </w:rPr>
      </w:pPr>
    </w:p>
    <w:p w14:paraId="7959991A" w14:textId="77777777" w:rsidR="001B4AB0" w:rsidRDefault="001B4AB0" w:rsidP="001C41A6">
      <w:pPr>
        <w:jc w:val="both"/>
        <w:rPr>
          <w:rFonts w:ascii="Calibri" w:hAnsi="Calibri" w:cs="Calibri"/>
          <w:sz w:val="22"/>
          <w:szCs w:val="22"/>
        </w:rPr>
      </w:pPr>
    </w:p>
    <w:p w14:paraId="06D44136" w14:textId="77777777" w:rsidR="001B4AB0" w:rsidRDefault="001B4AB0" w:rsidP="001C41A6">
      <w:pPr>
        <w:jc w:val="both"/>
        <w:rPr>
          <w:rFonts w:ascii="Calibri" w:hAnsi="Calibri" w:cs="Calibri"/>
          <w:sz w:val="22"/>
          <w:szCs w:val="22"/>
        </w:rPr>
      </w:pPr>
    </w:p>
    <w:p w14:paraId="660E76B2" w14:textId="53B9FD6D" w:rsidR="00D6138E" w:rsidRDefault="001514A8" w:rsidP="001C41A6">
      <w:pPr>
        <w:jc w:val="both"/>
        <w:rPr>
          <w:rFonts w:ascii="Calibri" w:hAnsi="Calibri" w:cs="Calibri"/>
          <w:sz w:val="22"/>
          <w:szCs w:val="22"/>
        </w:rPr>
      </w:pPr>
      <w:r w:rsidRPr="00254902">
        <w:rPr>
          <w:rFonts w:ascii="Calibri" w:hAnsi="Calibri" w:cs="Calibri"/>
          <w:sz w:val="22"/>
          <w:szCs w:val="22"/>
        </w:rPr>
        <w:t xml:space="preserve">Enrollment levels will be checked at the end of the last day to add/drop class(es) deadline for the quarter. Award amounts will be adjusted to reflect the correct enrollment level as of this deadline. Changes to a student’s schedule after this date </w:t>
      </w:r>
      <w:r w:rsidR="00D761A3">
        <w:rPr>
          <w:rFonts w:ascii="Calibri" w:hAnsi="Calibri" w:cs="Calibri"/>
          <w:sz w:val="22"/>
          <w:szCs w:val="22"/>
        </w:rPr>
        <w:t xml:space="preserve">will not </w:t>
      </w:r>
      <w:r w:rsidRPr="00254902">
        <w:rPr>
          <w:rFonts w:ascii="Calibri" w:hAnsi="Calibri" w:cs="Calibri"/>
          <w:sz w:val="22"/>
          <w:szCs w:val="22"/>
        </w:rPr>
        <w:t xml:space="preserve">increase </w:t>
      </w:r>
      <w:r w:rsidR="00D761A3">
        <w:rPr>
          <w:rFonts w:ascii="Calibri" w:hAnsi="Calibri" w:cs="Calibri"/>
          <w:sz w:val="22"/>
          <w:szCs w:val="22"/>
        </w:rPr>
        <w:t xml:space="preserve">a student’s </w:t>
      </w:r>
      <w:r w:rsidRPr="00254902">
        <w:rPr>
          <w:rFonts w:ascii="Calibri" w:hAnsi="Calibri" w:cs="Calibri"/>
          <w:sz w:val="22"/>
          <w:szCs w:val="22"/>
        </w:rPr>
        <w:t>financial aid</w:t>
      </w:r>
      <w:r w:rsidR="00D761A3">
        <w:rPr>
          <w:rFonts w:ascii="Calibri" w:hAnsi="Calibri" w:cs="Calibri"/>
          <w:sz w:val="22"/>
          <w:szCs w:val="22"/>
        </w:rPr>
        <w:t xml:space="preserve"> award</w:t>
      </w:r>
      <w:r w:rsidRPr="00254902">
        <w:rPr>
          <w:rFonts w:ascii="Calibri" w:hAnsi="Calibri" w:cs="Calibri"/>
          <w:sz w:val="22"/>
          <w:szCs w:val="22"/>
        </w:rPr>
        <w:t xml:space="preserve">. If a student’s aid was disbursed at an incorrect enrollment level, paid toward classes that were not required to complete the student’s degree with Cascadia or the student did not attend classes, they will owe a repayment of financial aid to the college and will be billed accordingly. </w:t>
      </w:r>
      <w:r w:rsidRPr="00254902">
        <w:rPr>
          <w:rFonts w:ascii="Calibri" w:hAnsi="Calibri" w:cs="Calibri"/>
          <w:b/>
          <w:i/>
          <w:sz w:val="22"/>
          <w:szCs w:val="22"/>
        </w:rPr>
        <w:t>It is the student’s responsibility to check with the financial aid office to verify how schedule changes may affect their financial aid</w:t>
      </w:r>
      <w:r w:rsidRPr="00254902">
        <w:rPr>
          <w:rFonts w:ascii="Calibri" w:hAnsi="Calibri" w:cs="Calibri"/>
          <w:sz w:val="22"/>
          <w:szCs w:val="22"/>
        </w:rPr>
        <w:t>. Faculty and staff other than financial aid staff are not required to know financial aid policies.</w:t>
      </w:r>
    </w:p>
    <w:p w14:paraId="53EC7B48" w14:textId="77777777" w:rsidR="001C41A6" w:rsidRDefault="001C41A6" w:rsidP="001C41A6">
      <w:pPr>
        <w:jc w:val="both"/>
      </w:pPr>
    </w:p>
    <w:p w14:paraId="32425339" w14:textId="77777777" w:rsidR="001C41A6" w:rsidRDefault="001C41A6" w:rsidP="001C41A6">
      <w:pPr>
        <w:jc w:val="both"/>
      </w:pPr>
    </w:p>
    <w:p w14:paraId="29BBFD81" w14:textId="152D7595" w:rsidR="001C41A6" w:rsidRPr="00D761A3" w:rsidRDefault="001B4AB0" w:rsidP="00D761A3">
      <w:pPr>
        <w:ind w:left="360" w:hanging="360"/>
        <w:rPr>
          <w:rFonts w:ascii="Calibri" w:hAnsi="Calibri" w:cs="Calibri"/>
          <w:bCs/>
        </w:rPr>
      </w:pPr>
      <w:r w:rsidRPr="00D761A3">
        <w:rPr>
          <w:rFonts w:ascii="Calibri" w:hAnsi="Calibri" w:cs="Calibri"/>
          <w:bCs/>
        </w:rPr>
        <w:t xml:space="preserve">* </w:t>
      </w:r>
      <w:r w:rsidRPr="00D761A3">
        <w:rPr>
          <w:rFonts w:ascii="Calibri" w:hAnsi="Calibri" w:cs="Calibri"/>
          <w:bCs/>
        </w:rPr>
        <w:tab/>
        <w:t xml:space="preserve">Audit status, Running Start, high school completion, ESL, ELP, Basic Skills, Tech Prep, continuing education credits, and pre-requisite credits required to transfer to another school if a student does not have elective room in their program </w:t>
      </w:r>
      <w:r w:rsidRPr="00D761A3">
        <w:rPr>
          <w:rFonts w:ascii="Calibri" w:hAnsi="Calibri" w:cs="Calibri"/>
          <w:bCs/>
          <w:u w:val="single"/>
        </w:rPr>
        <w:t>are not financial aid eligible and do not count towards a student’s enrollment level and funding amounts</w:t>
      </w:r>
      <w:r w:rsidRPr="00D761A3">
        <w:rPr>
          <w:rFonts w:ascii="Calibri" w:hAnsi="Calibri" w:cs="Calibri"/>
          <w:bCs/>
        </w:rPr>
        <w:t xml:space="preserve">. </w:t>
      </w:r>
    </w:p>
    <w:sectPr w:rsidR="001C41A6" w:rsidRPr="00D761A3" w:rsidSect="001514A8">
      <w:headerReference w:type="default" r:id="rId9"/>
      <w:footerReference w:type="default" r:id="rId10"/>
      <w:pgSz w:w="12240" w:h="15840" w:code="1"/>
      <w:pgMar w:top="432" w:right="1170" w:bottom="432" w:left="1260" w:header="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45EE" w14:textId="77777777" w:rsidR="007C10E3" w:rsidRDefault="007C10E3">
      <w:r>
        <w:separator/>
      </w:r>
    </w:p>
  </w:endnote>
  <w:endnote w:type="continuationSeparator" w:id="0">
    <w:p w14:paraId="316B1C34" w14:textId="77777777" w:rsidR="007C10E3" w:rsidRDefault="007C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0185" w14:textId="77777777" w:rsidR="00D761A3" w:rsidRPr="0094345A" w:rsidRDefault="00D761A3" w:rsidP="00D761A3">
    <w:pPr>
      <w:jc w:val="center"/>
      <w:rPr>
        <w:color w:val="000000"/>
        <w:sz w:val="18"/>
        <w:szCs w:val="18"/>
      </w:rPr>
    </w:pPr>
    <w:r w:rsidRPr="0094345A">
      <w:rPr>
        <w:i/>
        <w:iCs/>
        <w:color w:val="000000"/>
        <w:sz w:val="18"/>
        <w:szCs w:val="18"/>
      </w:rPr>
      <w:t xml:space="preserve">Cascadia does not discriminate based on, but not limited to: race, color, national origin, citizenship, ethnicity, language, culture, age, sex, gender identity or expression, sexual orientation, pregnancy or parental status, marital status, actual or perceived disability, use of service animal, economic status, military or veteran status, spirituality or religion, or genetic information in its programs, activities, or employment, and is prohibited from discrimination by college policy and state and federal law. For more information visit </w:t>
    </w:r>
    <w:hyperlink r:id="rId1" w:history="1">
      <w:r w:rsidRPr="0094345A">
        <w:rPr>
          <w:rStyle w:val="Hyperlink"/>
          <w:i/>
          <w:iCs/>
          <w:sz w:val="18"/>
          <w:szCs w:val="18"/>
        </w:rPr>
        <w:t>www.cascadia.edu/ND</w:t>
      </w:r>
    </w:hyperlink>
  </w:p>
  <w:p w14:paraId="6E28BA78" w14:textId="77777777" w:rsidR="00F97633" w:rsidRDefault="00F97633">
    <w:pPr>
      <w:pStyle w:val="Foote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99C8" w14:textId="77777777" w:rsidR="007C10E3" w:rsidRDefault="007C10E3">
      <w:r>
        <w:separator/>
      </w:r>
    </w:p>
  </w:footnote>
  <w:footnote w:type="continuationSeparator" w:id="0">
    <w:p w14:paraId="7090A40C" w14:textId="77777777" w:rsidR="007C10E3" w:rsidRDefault="007C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D312" w14:textId="77777777" w:rsidR="00F97633" w:rsidRDefault="00F97633" w:rsidP="007913C6">
    <w:pPr>
      <w:pStyle w:val="Header"/>
      <w:jc w:val="center"/>
    </w:pPr>
  </w:p>
  <w:p w14:paraId="04C05733" w14:textId="0341DB31" w:rsidR="00F97633" w:rsidRDefault="00996C2E" w:rsidP="007913C6">
    <w:pPr>
      <w:pStyle w:val="Header"/>
      <w:jc w:val="center"/>
    </w:pPr>
    <w:r>
      <w:rPr>
        <w:noProof/>
      </w:rPr>
      <w:drawing>
        <wp:anchor distT="0" distB="0" distL="114300" distR="114300" simplePos="0" relativeHeight="251657728" behindDoc="0" locked="0" layoutInCell="1" allowOverlap="1" wp14:anchorId="696BD4A1" wp14:editId="3803C24D">
          <wp:simplePos x="0" y="0"/>
          <wp:positionH relativeFrom="column">
            <wp:posOffset>2214245</wp:posOffset>
          </wp:positionH>
          <wp:positionV relativeFrom="paragraph">
            <wp:posOffset>120650</wp:posOffset>
          </wp:positionV>
          <wp:extent cx="1558290" cy="823595"/>
          <wp:effectExtent l="0" t="0" r="0" b="0"/>
          <wp:wrapNone/>
          <wp:docPr id="5" name="tb_5" descr="CC blue logo for light background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5" descr="CC blue logo for light backgrounds">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5829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DE42A" w14:textId="77777777" w:rsidR="00F97633" w:rsidRDefault="00F97633" w:rsidP="007913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254"/>
    <w:multiLevelType w:val="hybridMultilevel"/>
    <w:tmpl w:val="247C0B8A"/>
    <w:lvl w:ilvl="0" w:tplc="ED2AEE36">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BD1EE3"/>
    <w:multiLevelType w:val="hybridMultilevel"/>
    <w:tmpl w:val="B568E7D0"/>
    <w:lvl w:ilvl="0" w:tplc="60CA79C4">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F55DB1"/>
    <w:multiLevelType w:val="hybridMultilevel"/>
    <w:tmpl w:val="B8EE1B86"/>
    <w:lvl w:ilvl="0" w:tplc="9D566DFC">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605190"/>
    <w:multiLevelType w:val="hybridMultilevel"/>
    <w:tmpl w:val="FD904C10"/>
    <w:lvl w:ilvl="0" w:tplc="4512170E">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6A0C5C"/>
    <w:multiLevelType w:val="hybridMultilevel"/>
    <w:tmpl w:val="D4789830"/>
    <w:lvl w:ilvl="0" w:tplc="7B82B8BE">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2C47802"/>
    <w:multiLevelType w:val="hybridMultilevel"/>
    <w:tmpl w:val="80DC1674"/>
    <w:lvl w:ilvl="0" w:tplc="9C948756">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8B496C"/>
    <w:multiLevelType w:val="hybridMultilevel"/>
    <w:tmpl w:val="1DEA10FC"/>
    <w:lvl w:ilvl="0" w:tplc="85C8C828">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2402BE"/>
    <w:multiLevelType w:val="hybridMultilevel"/>
    <w:tmpl w:val="B6A44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01E60"/>
    <w:multiLevelType w:val="hybridMultilevel"/>
    <w:tmpl w:val="9CACF044"/>
    <w:lvl w:ilvl="0" w:tplc="FEE8BA9C">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79261EE"/>
    <w:multiLevelType w:val="hybridMultilevel"/>
    <w:tmpl w:val="FDC8A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9776D4"/>
    <w:multiLevelType w:val="hybridMultilevel"/>
    <w:tmpl w:val="A634CC44"/>
    <w:lvl w:ilvl="0" w:tplc="27F40B80">
      <w:start w:val="1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D16099A"/>
    <w:multiLevelType w:val="hybridMultilevel"/>
    <w:tmpl w:val="DF4E68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21020853">
    <w:abstractNumId w:val="5"/>
  </w:num>
  <w:num w:numId="2" w16cid:durableId="2002736471">
    <w:abstractNumId w:val="6"/>
  </w:num>
  <w:num w:numId="3" w16cid:durableId="889993798">
    <w:abstractNumId w:val="0"/>
  </w:num>
  <w:num w:numId="4" w16cid:durableId="1378049131">
    <w:abstractNumId w:val="2"/>
  </w:num>
  <w:num w:numId="5" w16cid:durableId="1238518057">
    <w:abstractNumId w:val="3"/>
  </w:num>
  <w:num w:numId="6" w16cid:durableId="1937784014">
    <w:abstractNumId w:val="4"/>
  </w:num>
  <w:num w:numId="7" w16cid:durableId="2111773662">
    <w:abstractNumId w:val="10"/>
  </w:num>
  <w:num w:numId="8" w16cid:durableId="1190294170">
    <w:abstractNumId w:val="8"/>
  </w:num>
  <w:num w:numId="9" w16cid:durableId="1170096695">
    <w:abstractNumId w:val="1"/>
  </w:num>
  <w:num w:numId="10" w16cid:durableId="66535127">
    <w:abstractNumId w:val="9"/>
  </w:num>
  <w:num w:numId="11" w16cid:durableId="15622631">
    <w:abstractNumId w:val="7"/>
  </w:num>
  <w:num w:numId="12" w16cid:durableId="717319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BD"/>
    <w:rsid w:val="0003397C"/>
    <w:rsid w:val="0004557F"/>
    <w:rsid w:val="00070632"/>
    <w:rsid w:val="000934E0"/>
    <w:rsid w:val="000A2708"/>
    <w:rsid w:val="00132599"/>
    <w:rsid w:val="001514A8"/>
    <w:rsid w:val="00154013"/>
    <w:rsid w:val="0018149D"/>
    <w:rsid w:val="00197568"/>
    <w:rsid w:val="001B37FB"/>
    <w:rsid w:val="001B4AB0"/>
    <w:rsid w:val="001C41A6"/>
    <w:rsid w:val="0024753A"/>
    <w:rsid w:val="0025306D"/>
    <w:rsid w:val="002C571B"/>
    <w:rsid w:val="003172F2"/>
    <w:rsid w:val="003409BC"/>
    <w:rsid w:val="003670DD"/>
    <w:rsid w:val="00367DFB"/>
    <w:rsid w:val="0038737D"/>
    <w:rsid w:val="00395B4B"/>
    <w:rsid w:val="003D4E58"/>
    <w:rsid w:val="003E52AD"/>
    <w:rsid w:val="003F59E0"/>
    <w:rsid w:val="004067DA"/>
    <w:rsid w:val="00421E76"/>
    <w:rsid w:val="00447F5B"/>
    <w:rsid w:val="00494263"/>
    <w:rsid w:val="004D462A"/>
    <w:rsid w:val="004E70FF"/>
    <w:rsid w:val="00530F33"/>
    <w:rsid w:val="005A19D1"/>
    <w:rsid w:val="005F3DAC"/>
    <w:rsid w:val="006474BD"/>
    <w:rsid w:val="00656BBE"/>
    <w:rsid w:val="00657B92"/>
    <w:rsid w:val="006B3166"/>
    <w:rsid w:val="006C2541"/>
    <w:rsid w:val="00713F07"/>
    <w:rsid w:val="00745F90"/>
    <w:rsid w:val="007467FB"/>
    <w:rsid w:val="007913C6"/>
    <w:rsid w:val="007C08EB"/>
    <w:rsid w:val="007C10E3"/>
    <w:rsid w:val="00843138"/>
    <w:rsid w:val="00843707"/>
    <w:rsid w:val="00871DA2"/>
    <w:rsid w:val="00874042"/>
    <w:rsid w:val="008B60E9"/>
    <w:rsid w:val="009755B0"/>
    <w:rsid w:val="0099226A"/>
    <w:rsid w:val="00996C2E"/>
    <w:rsid w:val="00A002F0"/>
    <w:rsid w:val="00A02400"/>
    <w:rsid w:val="00A4662B"/>
    <w:rsid w:val="00A65358"/>
    <w:rsid w:val="00AA3D60"/>
    <w:rsid w:val="00B152A1"/>
    <w:rsid w:val="00B321F9"/>
    <w:rsid w:val="00B54BE7"/>
    <w:rsid w:val="00BD77D6"/>
    <w:rsid w:val="00C0076D"/>
    <w:rsid w:val="00C23FB8"/>
    <w:rsid w:val="00C47870"/>
    <w:rsid w:val="00C62FE5"/>
    <w:rsid w:val="00C74356"/>
    <w:rsid w:val="00CF1809"/>
    <w:rsid w:val="00D32D21"/>
    <w:rsid w:val="00D343C9"/>
    <w:rsid w:val="00D35E92"/>
    <w:rsid w:val="00D520D7"/>
    <w:rsid w:val="00D56A6A"/>
    <w:rsid w:val="00D6138E"/>
    <w:rsid w:val="00D761A3"/>
    <w:rsid w:val="00D90EDB"/>
    <w:rsid w:val="00D91120"/>
    <w:rsid w:val="00E120FB"/>
    <w:rsid w:val="00E20B10"/>
    <w:rsid w:val="00E543FD"/>
    <w:rsid w:val="00E571B6"/>
    <w:rsid w:val="00F12037"/>
    <w:rsid w:val="00F91C2C"/>
    <w:rsid w:val="00F97633"/>
    <w:rsid w:val="00FD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5044A"/>
  <w15:chartTrackingRefBased/>
  <w15:docId w15:val="{C1828CA0-3CAF-4E89-9949-3B29BC2A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360" w:right="540" w:firstLine="360"/>
      <w:outlineLvl w:val="2"/>
    </w:pPr>
    <w:rPr>
      <w:rFonts w:ascii="Arial" w:hAnsi="Arial" w:cs="Arial"/>
      <w:sz w:val="24"/>
    </w:rPr>
  </w:style>
  <w:style w:type="paragraph" w:styleId="Heading4">
    <w:name w:val="heading 4"/>
    <w:basedOn w:val="Normal"/>
    <w:next w:val="Normal"/>
    <w:qFormat/>
    <w:pPr>
      <w:keepNext/>
      <w:autoSpaceDE w:val="0"/>
      <w:autoSpaceDN w:val="0"/>
      <w:adjustRightInd w:val="0"/>
      <w:ind w:left="2160" w:firstLine="720"/>
      <w:outlineLvl w:val="3"/>
    </w:pPr>
    <w:rPr>
      <w:sz w:val="24"/>
    </w:rPr>
  </w:style>
  <w:style w:type="paragraph" w:styleId="Heading5">
    <w:name w:val="heading 5"/>
    <w:basedOn w:val="Normal"/>
    <w:next w:val="Normal"/>
    <w:qFormat/>
    <w:pPr>
      <w:keepNext/>
      <w:autoSpaceDE w:val="0"/>
      <w:autoSpaceDN w:val="0"/>
      <w:adjustRightInd w:val="0"/>
      <w:ind w:left="5040" w:firstLine="720"/>
      <w:outlineLvl w:val="4"/>
    </w:pPr>
    <w:rPr>
      <w:b/>
      <w:bCs/>
      <w:sz w:val="28"/>
    </w:rPr>
  </w:style>
  <w:style w:type="paragraph" w:styleId="Heading6">
    <w:name w:val="heading 6"/>
    <w:basedOn w:val="Normal"/>
    <w:next w:val="Normal"/>
    <w:qFormat/>
    <w:pPr>
      <w:keepNext/>
      <w:ind w:right="720"/>
      <w:outlineLvl w:val="5"/>
    </w:pPr>
    <w:rPr>
      <w:rFonts w:ascii="Century Schoolbook" w:hAnsi="Century Schoolbook" w:cs="Arial"/>
      <w:sz w:val="24"/>
    </w:rPr>
  </w:style>
  <w:style w:type="paragraph" w:styleId="Heading8">
    <w:name w:val="heading 8"/>
    <w:basedOn w:val="Normal"/>
    <w:next w:val="Normal"/>
    <w:link w:val="Heading8Char"/>
    <w:unhideWhenUsed/>
    <w:qFormat/>
    <w:rsid w:val="00B321F9"/>
    <w:pPr>
      <w:spacing w:before="240" w:after="60"/>
      <w:outlineLvl w:val="7"/>
    </w:pPr>
    <w:rPr>
      <w:rFonts w:ascii="Calibri" w:hAnsi="Calibri"/>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rPr>
  </w:style>
  <w:style w:type="paragraph" w:styleId="BodyText">
    <w:name w:val="Body Text"/>
    <w:basedOn w:val="Normal"/>
    <w:rPr>
      <w:rFonts w:ascii="Arial" w:hAnsi="Arial" w:cs="Arial"/>
      <w:sz w:val="24"/>
    </w:rPr>
  </w:style>
  <w:style w:type="paragraph" w:styleId="BlockText">
    <w:name w:val="Block Text"/>
    <w:basedOn w:val="Normal"/>
    <w:pPr>
      <w:spacing w:line="360" w:lineRule="auto"/>
      <w:ind w:left="1440" w:right="720" w:hanging="720"/>
    </w:pPr>
    <w:rPr>
      <w:rFonts w:ascii="Arial" w:hAnsi="Arial" w:cs="Arial"/>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ind w:right="720"/>
    </w:pPr>
    <w:rPr>
      <w:rFonts w:ascii="Century Schoolbook" w:hAnsi="Century Schoolbook" w:cs="Arial"/>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Pr>
      <w:rFonts w:ascii="Tahoma" w:hAnsi="Tahoma" w:cs="Tahoma"/>
      <w:sz w:val="16"/>
      <w:szCs w:val="16"/>
    </w:rPr>
  </w:style>
  <w:style w:type="character" w:customStyle="1" w:styleId="Heading8Char">
    <w:name w:val="Heading 8 Char"/>
    <w:link w:val="Heading8"/>
    <w:rsid w:val="00B321F9"/>
    <w:rPr>
      <w:rFonts w:ascii="Calibri" w:eastAsia="Times New Roman" w:hAnsi="Calibri" w:cs="Times New Roman"/>
      <w:i/>
      <w:iCs/>
      <w:sz w:val="24"/>
      <w:szCs w:val="24"/>
    </w:rPr>
  </w:style>
  <w:style w:type="character" w:styleId="UnresolvedMention">
    <w:name w:val="Unresolved Mention"/>
    <w:uiPriority w:val="99"/>
    <w:semiHidden/>
    <w:unhideWhenUsed/>
    <w:rsid w:val="001C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ascadia.edu/student-resources/academic-support/calenda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nam11.safelinks.protection.outlook.com/?url=http%3A%2F%2Fwww.cascadia.edu%2FND&amp;data=05%7C02%7Cdholliday%40cascadia.edu%7C9887e695252d45bf6a2408dd66587aa4%7C2505efd99f5d4941865c03c9b1b88613%7C0%7C0%7C638779252378935992%7CUnknown%7CTWFpbGZsb3d8eyJFbXB0eU1hcGkiOnRydWUsIlYiOiIwLjAuMDAwMCIsIlAiOiJXaW4zMiIsIkFOIjoiTWFpbCIsIldUIjoyfQ%3D%3D%7C4000%7C%7C%7C&amp;sdata=FCNaXe8Naoop%2BkXMVNyKTUA4XcpO0v4I%2FQOUyG3J2cE%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my.cascadia.edu/Departments/college_relations/Cascadia%20Logo/_t/logo%5Fbluegrey%5F4in_jpg.jpg" TargetMode="External"/><Relationship Id="rId2" Type="http://schemas.openxmlformats.org/officeDocument/2006/relationships/image" Target="media/image1.png"/><Relationship Id="rId1" Type="http://schemas.openxmlformats.org/officeDocument/2006/relationships/hyperlink" Target="http://my.cascadia.edu/Departments/college_relations/Cascadia%20Logo/Forms/AllItem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khurst\fin%20aid%20dept\Handouts%20and%20forms\Handouts%20and%20forms%2003-04\Refund%20-%20Repayment%20Policy%2003-04%20AP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F7163-2760-4F90-9B6B-15BDABE8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Refund - Repayment Policy 03-04 AP3.dot</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Cascadia Community College</Company>
  <LinksUpToDate>false</LinksUpToDate>
  <CharactersWithSpaces>3681</CharactersWithSpaces>
  <SharedDoc>false</SharedDoc>
  <HLinks>
    <vt:vector size="24" baseType="variant">
      <vt:variant>
        <vt:i4>2424894</vt:i4>
      </vt:variant>
      <vt:variant>
        <vt:i4>3</vt:i4>
      </vt:variant>
      <vt:variant>
        <vt:i4>0</vt:i4>
      </vt:variant>
      <vt:variant>
        <vt:i4>5</vt:i4>
      </vt:variant>
      <vt:variant>
        <vt:lpwstr>https://nam11.safelinks.protection.outlook.com/?url=http%3A%2F%2Fwww.cascadia.edu%2FND&amp;data=05%7C02%7Cdholliday%40cascadia.edu%7C9887e695252d45bf6a2408dd66587aa4%7C2505efd99f5d4941865c03c9b1b88613%7C0%7C0%7C638779252378935992%7CUnknown%7CTWFpbGZsb3d8eyJFbXB0eU1hcGkiOnRydWUsIlYiOiIwLjAuMDAwMCIsIlAiOiJXaW4zMiIsIkFOIjoiTWFpbCIsIldUIjoyfQ%3D%3D%7C4000%7C%7C%7C&amp;sdata=FCNaXe8Naoop%2BkXMVNyKTUA4XcpO0v4I%2FQOUyG3J2cE%3D&amp;reserved=0</vt:lpwstr>
      </vt:variant>
      <vt:variant>
        <vt:lpwstr/>
      </vt:variant>
      <vt:variant>
        <vt:i4>5636112</vt:i4>
      </vt:variant>
      <vt:variant>
        <vt:i4>0</vt:i4>
      </vt:variant>
      <vt:variant>
        <vt:i4>0</vt:i4>
      </vt:variant>
      <vt:variant>
        <vt:i4>5</vt:i4>
      </vt:variant>
      <vt:variant>
        <vt:lpwstr>https://www.cascadia.edu/student-resources/academic-support/calendar.aspx</vt:lpwstr>
      </vt:variant>
      <vt:variant>
        <vt:lpwstr/>
      </vt:variant>
      <vt:variant>
        <vt:i4>8257624</vt:i4>
      </vt:variant>
      <vt:variant>
        <vt:i4>-1</vt:i4>
      </vt:variant>
      <vt:variant>
        <vt:i4>2053</vt:i4>
      </vt:variant>
      <vt:variant>
        <vt:i4>4</vt:i4>
      </vt:variant>
      <vt:variant>
        <vt:lpwstr>http://my.cascadia.edu/Departments/college_relations/Cascadia Logo/Forms/AllItems.aspx</vt:lpwstr>
      </vt:variant>
      <vt:variant>
        <vt:lpwstr/>
      </vt:variant>
      <vt:variant>
        <vt:i4>1441907</vt:i4>
      </vt:variant>
      <vt:variant>
        <vt:i4>-1</vt:i4>
      </vt:variant>
      <vt:variant>
        <vt:i4>2053</vt:i4>
      </vt:variant>
      <vt:variant>
        <vt:i4>1</vt:i4>
      </vt:variant>
      <vt:variant>
        <vt:lpwstr>http://my.cascadia.edu/Departments/college_relations/Cascadia%20Logo/_t/logo%5Fbluegrey%5F4in_jpg.jpg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rsharpe</dc:creator>
  <cp:keywords/>
  <dc:description/>
  <cp:lastModifiedBy>Holliday, Deann</cp:lastModifiedBy>
  <cp:revision>2</cp:revision>
  <cp:lastPrinted>2015-01-22T21:04:00Z</cp:lastPrinted>
  <dcterms:created xsi:type="dcterms:W3CDTF">2026-06-11T18:10:00Z</dcterms:created>
  <dcterms:modified xsi:type="dcterms:W3CDTF">2026-06-11T18:10:00Z</dcterms:modified>
</cp:coreProperties>
</file>